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88D41" w14:textId="77777777" w:rsidR="00E966FC" w:rsidRDefault="00000000">
      <w:pPr>
        <w:spacing w:after="60"/>
        <w:jc w:val="center"/>
      </w:pPr>
      <w:r>
        <w:rPr>
          <w:rFonts w:ascii="Arial" w:eastAsia="Arial" w:hAnsi="Arial" w:cs="Arial"/>
          <w:b/>
          <w:bCs/>
          <w:color w:val="8A51F9"/>
          <w:sz w:val="32"/>
          <w:szCs w:val="32"/>
        </w:rPr>
        <w:t>SUPERANNUATION GUARANTEE PAYABILITY WORKSHEET</w:t>
      </w:r>
    </w:p>
    <w:p w14:paraId="610FD47F" w14:textId="77777777" w:rsidR="00E966FC" w:rsidRDefault="00000000">
      <w:pPr>
        <w:spacing w:after="300"/>
        <w:jc w:val="center"/>
      </w:pPr>
      <w:r>
        <w:rPr>
          <w:rFonts w:ascii="Arial" w:eastAsia="Arial" w:hAnsi="Arial" w:cs="Arial"/>
          <w:i/>
          <w:iCs/>
          <w:color w:val="666666"/>
        </w:rPr>
        <w:t>A step-by-step worksheet for engaging contractors, performers and casual workers</w:t>
      </w:r>
    </w:p>
    <w:p w14:paraId="3757FCD4" w14:textId="77777777" w:rsidR="00E966FC" w:rsidRDefault="00000000">
      <w:pPr>
        <w:spacing w:after="240"/>
        <w:jc w:val="center"/>
      </w:pPr>
      <w:r>
        <w:rPr>
          <w:rFonts w:ascii="Arial" w:eastAsia="Arial" w:hAnsi="Arial" w:cs="Arial"/>
          <w:b/>
          <w:bCs/>
          <w:color w:val="C00000"/>
        </w:rPr>
        <w:t>TEMPLATE — replace [ORGANISATION NAME] and other bracketed placeholders. This is general guidance to support your own assessment, not legal or tax advice — see the note at the end.</w:t>
      </w:r>
    </w:p>
    <w:p w14:paraId="458B320C" w14:textId="77777777" w:rsidR="00E966FC" w:rsidRDefault="00000000">
      <w:pPr>
        <w:spacing w:after="140" w:line="276" w:lineRule="auto"/>
      </w:pPr>
      <w:r>
        <w:rPr>
          <w:rFonts w:ascii="Arial" w:eastAsia="Arial" w:hAnsi="Arial" w:cs="Arial"/>
          <w:sz w:val="21"/>
          <w:szCs w:val="21"/>
        </w:rPr>
        <w:t>Use this worksheet each time your organisation engages someone outside your normal payroll — a contractor, a performer, a presenter, or casual help — to work out whether superannuation guarantee (SG) is payable. "They have an ABN" is not, on its own, an answer: SG in Australia is governed by an extended definition of "employee" that catches many people who would otherwise look like genuine contractors. Work through the steps below in order and record the outcome.</w:t>
      </w:r>
    </w:p>
    <w:p w14:paraId="080BD8D2" w14:textId="77777777" w:rsidR="00E966FC" w:rsidRDefault="00000000">
      <w:pPr>
        <w:spacing w:before="320" w:after="140"/>
      </w:pPr>
      <w:r>
        <w:rPr>
          <w:rFonts w:ascii="Arial" w:eastAsia="Arial" w:hAnsi="Arial" w:cs="Arial"/>
          <w:b/>
          <w:bCs/>
          <w:color w:val="1A1A1A"/>
          <w:sz w:val="27"/>
          <w:szCs w:val="27"/>
        </w:rPr>
        <w:t>Section 1 — Engagement details</w:t>
      </w:r>
    </w:p>
    <w:p w14:paraId="49899754" w14:textId="77777777" w:rsidR="00E966FC" w:rsidRDefault="00000000">
      <w:pPr>
        <w:spacing w:after="160"/>
      </w:pPr>
      <w:r>
        <w:rPr>
          <w:rFonts w:ascii="Arial" w:eastAsia="Arial" w:hAnsi="Arial" w:cs="Arial"/>
          <w:b/>
          <w:bCs/>
          <w:sz w:val="21"/>
          <w:szCs w:val="21"/>
        </w:rPr>
        <w:t xml:space="preserve">Organisation: </w:t>
      </w:r>
      <w:r>
        <w:rPr>
          <w:rFonts w:ascii="Arial" w:eastAsia="Arial" w:hAnsi="Arial" w:cs="Arial"/>
          <w:sz w:val="21"/>
          <w:szCs w:val="21"/>
        </w:rPr>
        <w:t>_______________________________________________</w:t>
      </w:r>
    </w:p>
    <w:p w14:paraId="3E7F3D58" w14:textId="77777777" w:rsidR="00E966FC" w:rsidRDefault="00000000">
      <w:pPr>
        <w:spacing w:after="160"/>
      </w:pPr>
      <w:r>
        <w:rPr>
          <w:rFonts w:ascii="Arial" w:eastAsia="Arial" w:hAnsi="Arial" w:cs="Arial"/>
          <w:b/>
          <w:bCs/>
          <w:sz w:val="21"/>
          <w:szCs w:val="21"/>
        </w:rPr>
        <w:t xml:space="preserve">Worker / entity name: </w:t>
      </w:r>
      <w:r>
        <w:rPr>
          <w:rFonts w:ascii="Arial" w:eastAsia="Arial" w:hAnsi="Arial" w:cs="Arial"/>
          <w:sz w:val="21"/>
          <w:szCs w:val="21"/>
        </w:rPr>
        <w:t>_______________________________________________</w:t>
      </w:r>
    </w:p>
    <w:p w14:paraId="32612BEA" w14:textId="77777777" w:rsidR="00E966FC" w:rsidRDefault="00000000">
      <w:pPr>
        <w:spacing w:after="160"/>
      </w:pPr>
      <w:r>
        <w:rPr>
          <w:rFonts w:ascii="Arial" w:eastAsia="Arial" w:hAnsi="Arial" w:cs="Arial"/>
          <w:b/>
          <w:bCs/>
          <w:sz w:val="21"/>
          <w:szCs w:val="21"/>
        </w:rPr>
        <w:t xml:space="preserve">ABN (if any): </w:t>
      </w:r>
      <w:r>
        <w:rPr>
          <w:rFonts w:ascii="Arial" w:eastAsia="Arial" w:hAnsi="Arial" w:cs="Arial"/>
          <w:sz w:val="21"/>
          <w:szCs w:val="21"/>
        </w:rPr>
        <w:t>_______________________________________________</w:t>
      </w:r>
    </w:p>
    <w:p w14:paraId="54DE8CC5" w14:textId="77777777" w:rsidR="00E966FC" w:rsidRDefault="00000000">
      <w:pPr>
        <w:spacing w:after="80" w:line="276" w:lineRule="auto"/>
      </w:pPr>
      <w:r>
        <w:rPr>
          <w:rFonts w:ascii="Arial" w:eastAsia="Arial" w:hAnsi="Arial" w:cs="Arial"/>
          <w:sz w:val="21"/>
          <w:szCs w:val="21"/>
        </w:rPr>
        <w:t>Business structure (tick one):</w:t>
      </w:r>
    </w:p>
    <w:p w14:paraId="78CB3675" w14:textId="77777777" w:rsidR="00E966FC" w:rsidRDefault="00000000">
      <w:pPr>
        <w:spacing w:after="160"/>
        <w:ind w:left="200"/>
      </w:pPr>
      <w:r>
        <w:rPr>
          <w:rFonts w:ascii="Arial" w:eastAsia="Arial" w:hAnsi="Arial" w:cs="Arial"/>
          <w:sz w:val="21"/>
          <w:szCs w:val="21"/>
        </w:rPr>
        <w:t>☐ Individual / sole trader   ☐ Company   ☐ Partnership   ☐ Trust</w:t>
      </w:r>
    </w:p>
    <w:p w14:paraId="26F51EFE" w14:textId="77777777" w:rsidR="00E966FC" w:rsidRDefault="00000000">
      <w:pPr>
        <w:spacing w:after="160"/>
      </w:pPr>
      <w:r>
        <w:rPr>
          <w:rFonts w:ascii="Arial" w:eastAsia="Arial" w:hAnsi="Arial" w:cs="Arial"/>
          <w:b/>
          <w:bCs/>
          <w:sz w:val="21"/>
          <w:szCs w:val="21"/>
        </w:rPr>
        <w:t xml:space="preserve">Description of work / performance: </w:t>
      </w:r>
      <w:r>
        <w:rPr>
          <w:rFonts w:ascii="Arial" w:eastAsia="Arial" w:hAnsi="Arial" w:cs="Arial"/>
          <w:sz w:val="21"/>
          <w:szCs w:val="21"/>
        </w:rPr>
        <w:t>_______________________________________________</w:t>
      </w:r>
    </w:p>
    <w:p w14:paraId="24B2ACC0" w14:textId="77777777" w:rsidR="00E966FC" w:rsidRDefault="00000000">
      <w:pPr>
        <w:spacing w:after="160"/>
      </w:pPr>
      <w:r>
        <w:rPr>
          <w:rFonts w:ascii="Arial" w:eastAsia="Arial" w:hAnsi="Arial" w:cs="Arial"/>
          <w:b/>
          <w:bCs/>
          <w:sz w:val="21"/>
          <w:szCs w:val="21"/>
        </w:rPr>
        <w:t xml:space="preserve">Event, project or engagement name: </w:t>
      </w:r>
      <w:r>
        <w:rPr>
          <w:rFonts w:ascii="Arial" w:eastAsia="Arial" w:hAnsi="Arial" w:cs="Arial"/>
          <w:sz w:val="21"/>
          <w:szCs w:val="21"/>
        </w:rPr>
        <w:t>_______________________________________________</w:t>
      </w:r>
    </w:p>
    <w:p w14:paraId="7599F73F" w14:textId="77777777" w:rsidR="00E966FC" w:rsidRDefault="00000000">
      <w:pPr>
        <w:spacing w:after="160"/>
      </w:pPr>
      <w:r>
        <w:rPr>
          <w:rFonts w:ascii="Arial" w:eastAsia="Arial" w:hAnsi="Arial" w:cs="Arial"/>
          <w:b/>
          <w:bCs/>
          <w:sz w:val="21"/>
          <w:szCs w:val="21"/>
        </w:rPr>
        <w:t xml:space="preserve">Date(s) of engagement: </w:t>
      </w:r>
      <w:r>
        <w:rPr>
          <w:rFonts w:ascii="Arial" w:eastAsia="Arial" w:hAnsi="Arial" w:cs="Arial"/>
          <w:sz w:val="21"/>
          <w:szCs w:val="21"/>
        </w:rPr>
        <w:t>_______________________________________________</w:t>
      </w:r>
    </w:p>
    <w:p w14:paraId="2EAF2040" w14:textId="77777777" w:rsidR="00E966FC" w:rsidRDefault="00000000">
      <w:pPr>
        <w:spacing w:after="160"/>
      </w:pPr>
      <w:r>
        <w:rPr>
          <w:rFonts w:ascii="Arial" w:eastAsia="Arial" w:hAnsi="Arial" w:cs="Arial"/>
          <w:b/>
          <w:bCs/>
          <w:sz w:val="21"/>
          <w:szCs w:val="21"/>
        </w:rPr>
        <w:t xml:space="preserve">Agreed fee: $ </w:t>
      </w:r>
      <w:r>
        <w:rPr>
          <w:rFonts w:ascii="Arial" w:eastAsia="Arial" w:hAnsi="Arial" w:cs="Arial"/>
          <w:sz w:val="21"/>
          <w:szCs w:val="21"/>
        </w:rPr>
        <w:t>_______________________________________________</w:t>
      </w:r>
    </w:p>
    <w:p w14:paraId="0F75148A" w14:textId="77777777" w:rsidR="00E966FC" w:rsidRDefault="00000000">
      <w:pPr>
        <w:spacing w:before="320" w:after="140"/>
      </w:pPr>
      <w:r>
        <w:rPr>
          <w:rFonts w:ascii="Arial" w:eastAsia="Arial" w:hAnsi="Arial" w:cs="Arial"/>
          <w:b/>
          <w:bCs/>
          <w:color w:val="1A1A1A"/>
          <w:sz w:val="27"/>
          <w:szCs w:val="27"/>
        </w:rPr>
        <w:t>Section 2 — Step 1: Is this an ordinary (common-law) employee?</w:t>
      </w:r>
    </w:p>
    <w:p w14:paraId="19A1AB15" w14:textId="77777777" w:rsidR="00E966FC" w:rsidRDefault="00000000">
      <w:pPr>
        <w:spacing w:after="140" w:line="276" w:lineRule="auto"/>
      </w:pPr>
      <w:r>
        <w:rPr>
          <w:rFonts w:ascii="Arial" w:eastAsia="Arial" w:hAnsi="Arial" w:cs="Arial"/>
          <w:sz w:val="21"/>
          <w:szCs w:val="21"/>
        </w:rPr>
        <w:t>Before considering the extended definitions below, start with the ordinary test: looking at the whole of the contract and relationship, is this really an employment relationship dressed up as something else? Following the High Court's decision in CFMMEU v Personnel Contracting Pty Ltd [2022] HCA 1, this is assessed from the legal rights and obligations in the contract itself, not just how it plays out in practice or what it's labelled.</w:t>
      </w:r>
    </w:p>
    <w:p w14:paraId="6A2CF9E7" w14:textId="77777777" w:rsidR="00E966FC" w:rsidRDefault="00000000">
      <w:pPr>
        <w:spacing w:after="100"/>
        <w:ind w:left="200"/>
      </w:pPr>
      <w:r>
        <w:rPr>
          <w:rFonts w:ascii="Arial" w:eastAsia="Arial" w:hAnsi="Arial" w:cs="Arial"/>
          <w:sz w:val="21"/>
          <w:szCs w:val="21"/>
        </w:rPr>
        <w:t>☐ Yes    ☐ No    — Is the worker integrated into the organisation, working set hours, under direction, without the ability to delegate, and without genuinely operating their own business?</w:t>
      </w:r>
    </w:p>
    <w:p w14:paraId="5A7BF260" w14:textId="77777777" w:rsidR="00E966FC" w:rsidRDefault="00000000">
      <w:pPr>
        <w:spacing w:after="200" w:line="276" w:lineRule="auto"/>
      </w:pPr>
      <w:r>
        <w:rPr>
          <w:rFonts w:ascii="Arial" w:eastAsia="Arial" w:hAnsi="Arial" w:cs="Arial"/>
          <w:sz w:val="21"/>
          <w:szCs w:val="21"/>
        </w:rPr>
        <w:t>If yes, this is likely an ordinary employee and SG is payable — you don't need to go further. If no (or unsure), continue to Section 3, because the extended definitions in section 12 of the Superannuation Guarantee (Administration) Act 1992 (SGAA) can still apply even to a genuine-looking contractor.</w:t>
      </w:r>
    </w:p>
    <w:p w14:paraId="600E3673" w14:textId="77777777" w:rsidR="00E966FC" w:rsidRDefault="00000000">
      <w:pPr>
        <w:spacing w:before="320" w:after="140"/>
      </w:pPr>
      <w:r>
        <w:rPr>
          <w:rFonts w:ascii="Arial" w:eastAsia="Arial" w:hAnsi="Arial" w:cs="Arial"/>
          <w:b/>
          <w:bCs/>
          <w:color w:val="1A1A1A"/>
          <w:sz w:val="27"/>
          <w:szCs w:val="27"/>
        </w:rPr>
        <w:t>Section 3 — Step 2: Do any extended definitions apply?</w:t>
      </w:r>
    </w:p>
    <w:p w14:paraId="1C4BB0FF" w14:textId="77777777" w:rsidR="00E966FC" w:rsidRDefault="00000000">
      <w:pPr>
        <w:spacing w:after="160" w:line="276" w:lineRule="auto"/>
      </w:pPr>
      <w:r>
        <w:rPr>
          <w:rFonts w:ascii="Arial" w:eastAsia="Arial" w:hAnsi="Arial" w:cs="Arial"/>
          <w:sz w:val="21"/>
          <w:szCs w:val="21"/>
        </w:rPr>
        <w:t>Section 12 of the SGAA extends "employee" well beyond the ordinary meaning. Work through each of the following — more than one may apply, and each is assessed separately.</w:t>
      </w:r>
    </w:p>
    <w:p w14:paraId="1ED1EA99" w14:textId="77777777" w:rsidR="00E966FC" w:rsidRDefault="00000000">
      <w:pPr>
        <w:spacing w:before="200" w:after="100"/>
      </w:pPr>
      <w:r>
        <w:rPr>
          <w:rFonts w:ascii="Arial" w:eastAsia="Arial" w:hAnsi="Arial" w:cs="Arial"/>
          <w:b/>
          <w:bCs/>
          <w:sz w:val="22"/>
          <w:szCs w:val="22"/>
        </w:rPr>
        <w:lastRenderedPageBreak/>
        <w:t>3.1 — Contract wholly or principally for labour (s12(3))</w:t>
      </w:r>
    </w:p>
    <w:p w14:paraId="7621BFC1" w14:textId="77777777" w:rsidR="00E966FC" w:rsidRDefault="00000000">
      <w:pPr>
        <w:spacing w:after="100" w:line="276" w:lineRule="auto"/>
      </w:pPr>
      <w:r>
        <w:rPr>
          <w:rFonts w:ascii="Arial" w:eastAsia="Arial" w:hAnsi="Arial" w:cs="Arial"/>
          <w:sz w:val="21"/>
          <w:szCs w:val="21"/>
        </w:rPr>
        <w:t>If a person works under a contract that is mainly about supplying their own labour — rather than a business supplying a finished result, equipment, or the services of multiple staff — they are treated as an employee of the other party, regardless of any contractor label.</w:t>
      </w:r>
    </w:p>
    <w:p w14:paraId="07C63698" w14:textId="77777777" w:rsidR="00E966FC" w:rsidRDefault="00000000">
      <w:pPr>
        <w:spacing w:after="100"/>
        <w:ind w:left="200"/>
      </w:pPr>
      <w:r>
        <w:rPr>
          <w:rFonts w:ascii="Arial" w:eastAsia="Arial" w:hAnsi="Arial" w:cs="Arial"/>
          <w:sz w:val="21"/>
          <w:szCs w:val="21"/>
        </w:rPr>
        <w:t>☐ Yes    ☐ No    — Is the engagement primarily for this person's personal labour or skills?</w:t>
      </w:r>
    </w:p>
    <w:p w14:paraId="5A2912D9" w14:textId="77777777" w:rsidR="00E966FC" w:rsidRDefault="00000000">
      <w:pPr>
        <w:spacing w:after="100"/>
        <w:ind w:left="200"/>
      </w:pPr>
      <w:r>
        <w:rPr>
          <w:rFonts w:ascii="Arial" w:eastAsia="Arial" w:hAnsi="Arial" w:cs="Arial"/>
          <w:sz w:val="21"/>
          <w:szCs w:val="21"/>
        </w:rPr>
        <w:t>☐ Yes    ☐ No    — Is the worker unable to delegate or subcontract the work to someone else?</w:t>
      </w:r>
    </w:p>
    <w:p w14:paraId="74C5006C" w14:textId="77777777" w:rsidR="00E966FC" w:rsidRDefault="00000000">
      <w:pPr>
        <w:spacing w:after="100"/>
        <w:ind w:left="200"/>
      </w:pPr>
      <w:r>
        <w:rPr>
          <w:rFonts w:ascii="Arial" w:eastAsia="Arial" w:hAnsi="Arial" w:cs="Arial"/>
          <w:sz w:val="21"/>
          <w:szCs w:val="21"/>
        </w:rPr>
        <w:t>☐ Yes    ☐ No    — Does the worker perform as an individual, rather than through their own company?</w:t>
      </w:r>
    </w:p>
    <w:p w14:paraId="44AE1729" w14:textId="77777777" w:rsidR="00E966FC" w:rsidRDefault="00000000">
      <w:pPr>
        <w:spacing w:after="100"/>
        <w:ind w:left="200"/>
      </w:pPr>
      <w:r>
        <w:rPr>
          <w:rFonts w:ascii="Arial" w:eastAsia="Arial" w:hAnsi="Arial" w:cs="Arial"/>
          <w:sz w:val="21"/>
          <w:szCs w:val="21"/>
        </w:rPr>
        <w:t>☐ Yes    ☐ No    — Is the worker paid for time/attendance rather than a fixed fee for a defined result?</w:t>
      </w:r>
    </w:p>
    <w:p w14:paraId="65BB5755" w14:textId="77777777" w:rsidR="00E966FC" w:rsidRDefault="00000000">
      <w:pPr>
        <w:spacing w:after="100"/>
        <w:ind w:left="200"/>
      </w:pPr>
      <w:r>
        <w:rPr>
          <w:rFonts w:ascii="Arial" w:eastAsia="Arial" w:hAnsi="Arial" w:cs="Arial"/>
          <w:sz w:val="21"/>
          <w:szCs w:val="21"/>
        </w:rPr>
        <w:t>☐ Yes    ☐ No    — Does the worker rely on the organisation's equipment/premises rather than supplying their own?</w:t>
      </w:r>
    </w:p>
    <w:p w14:paraId="5F12571B" w14:textId="77777777" w:rsidR="00E966FC" w:rsidRDefault="00000000">
      <w:pPr>
        <w:spacing w:after="200" w:line="276" w:lineRule="auto"/>
      </w:pPr>
      <w:r>
        <w:rPr>
          <w:rFonts w:ascii="Arial" w:eastAsia="Arial" w:hAnsi="Arial" w:cs="Arial"/>
          <w:i/>
          <w:iCs/>
          <w:sz w:val="21"/>
          <w:szCs w:val="21"/>
        </w:rPr>
        <w:t>The more "yes" answers above, the stronger the case that s12(3) applies and SG is payable.</w:t>
      </w:r>
    </w:p>
    <w:p w14:paraId="5DA490FB" w14:textId="365B83C7" w:rsidR="00E966FC" w:rsidRDefault="00000000">
      <w:pPr>
        <w:spacing w:before="200" w:after="100"/>
      </w:pPr>
      <w:r>
        <w:rPr>
          <w:rFonts w:ascii="Arial" w:eastAsia="Arial" w:hAnsi="Arial" w:cs="Arial"/>
          <w:b/>
          <w:bCs/>
          <w:sz w:val="22"/>
          <w:szCs w:val="22"/>
        </w:rPr>
        <w:t>3.2 — Performers, presenters and similar s12(8)</w:t>
      </w:r>
    </w:p>
    <w:p w14:paraId="0D5AD5C9" w14:textId="5D3C8A7D" w:rsidR="00E966FC" w:rsidRDefault="00000000">
      <w:pPr>
        <w:spacing w:after="100" w:line="276" w:lineRule="auto"/>
      </w:pPr>
      <w:r>
        <w:rPr>
          <w:rFonts w:ascii="Arial" w:eastAsia="Arial" w:hAnsi="Arial" w:cs="Arial"/>
          <w:sz w:val="21"/>
          <w:szCs w:val="21"/>
        </w:rPr>
        <w:t>This is the rule most often missed. Anyone paid to perform or present — or to participate in performing or presenting — music, dance, entertainment, sport, display or promotional activity involving artistic, intellectual, musical or physical skill is deemed an employee of whoever is liable to pay them. This rule does not depend on there being a contract at all, and it is not affected by an ABN, an invoice, or a contractor label. Section 12(</w:t>
      </w:r>
      <w:r w:rsidR="00C4615B">
        <w:rPr>
          <w:rFonts w:ascii="Arial" w:eastAsia="Arial" w:hAnsi="Arial" w:cs="Arial"/>
          <w:sz w:val="21"/>
          <w:szCs w:val="21"/>
        </w:rPr>
        <w:t>8</w:t>
      </w:r>
      <w:r>
        <w:rPr>
          <w:rFonts w:ascii="Arial" w:eastAsia="Arial" w:hAnsi="Arial" w:cs="Arial"/>
          <w:sz w:val="21"/>
          <w:szCs w:val="21"/>
        </w:rPr>
        <w:t>)</w:t>
      </w:r>
      <w:r w:rsidR="00C4615B">
        <w:rPr>
          <w:rFonts w:ascii="Arial" w:eastAsia="Arial" w:hAnsi="Arial" w:cs="Arial"/>
          <w:sz w:val="21"/>
          <w:szCs w:val="21"/>
        </w:rPr>
        <w:t>(b)</w:t>
      </w:r>
      <w:r>
        <w:rPr>
          <w:rFonts w:ascii="Arial" w:eastAsia="Arial" w:hAnsi="Arial" w:cs="Arial"/>
          <w:sz w:val="21"/>
          <w:szCs w:val="21"/>
        </w:rPr>
        <w:t xml:space="preserve"> extends this to people paid for services connected with such an activity (for example, support crew), and </w:t>
      </w:r>
      <w:r w:rsidR="00C4615B">
        <w:rPr>
          <w:rFonts w:ascii="Arial" w:eastAsia="Arial" w:hAnsi="Arial" w:cs="Arial"/>
          <w:sz w:val="21"/>
          <w:szCs w:val="21"/>
        </w:rPr>
        <w:t xml:space="preserve">Section 12(8)(c) </w:t>
      </w:r>
      <w:r>
        <w:rPr>
          <w:rFonts w:ascii="Arial" w:eastAsia="Arial" w:hAnsi="Arial" w:cs="Arial"/>
          <w:sz w:val="21"/>
          <w:szCs w:val="21"/>
        </w:rPr>
        <w:t>covers people paid for work on a film, tape, disc, or television/radio broadcast.</w:t>
      </w:r>
    </w:p>
    <w:p w14:paraId="70C8495F" w14:textId="77777777" w:rsidR="00E966FC" w:rsidRDefault="00000000">
      <w:pPr>
        <w:spacing w:after="100"/>
        <w:ind w:left="200"/>
      </w:pPr>
      <w:r>
        <w:rPr>
          <w:rFonts w:ascii="Arial" w:eastAsia="Arial" w:hAnsi="Arial" w:cs="Arial"/>
          <w:sz w:val="21"/>
          <w:szCs w:val="21"/>
        </w:rPr>
        <w:t>☐ Yes    ☐ No    — Is this person paid to perform, present, or participate in performing/presenting music, dance, sport, entertainment, display or a similar activity?</w:t>
      </w:r>
    </w:p>
    <w:p w14:paraId="4EB3BB0B" w14:textId="77777777" w:rsidR="00E966FC" w:rsidRDefault="00000000">
      <w:pPr>
        <w:spacing w:after="100"/>
        <w:ind w:left="200"/>
      </w:pPr>
      <w:r>
        <w:rPr>
          <w:rFonts w:ascii="Arial" w:eastAsia="Arial" w:hAnsi="Arial" w:cs="Arial"/>
          <w:sz w:val="21"/>
          <w:szCs w:val="21"/>
        </w:rPr>
        <w:t>☐ Yes    ☐ No    — Is this person paid to provide services connected with such a performance (e.g. sound, lighting, production crew)?</w:t>
      </w:r>
    </w:p>
    <w:p w14:paraId="601B86CF" w14:textId="77777777" w:rsidR="00E966FC" w:rsidRDefault="00000000">
      <w:pPr>
        <w:spacing w:after="100"/>
        <w:ind w:left="200"/>
      </w:pPr>
      <w:r>
        <w:rPr>
          <w:rFonts w:ascii="Arial" w:eastAsia="Arial" w:hAnsi="Arial" w:cs="Arial"/>
          <w:sz w:val="21"/>
          <w:szCs w:val="21"/>
        </w:rPr>
        <w:t>☐ Yes    ☐ No    — Is this person paid for work on a film, tape, disc, or TV/radio broadcast?</w:t>
      </w:r>
    </w:p>
    <w:p w14:paraId="1B0FB008" w14:textId="77777777" w:rsidR="00E966FC" w:rsidRDefault="00000000">
      <w:pPr>
        <w:spacing w:after="200" w:line="276" w:lineRule="auto"/>
      </w:pPr>
      <w:r>
        <w:rPr>
          <w:rFonts w:ascii="Arial" w:eastAsia="Arial" w:hAnsi="Arial" w:cs="Arial"/>
          <w:i/>
          <w:iCs/>
          <w:sz w:val="21"/>
          <w:szCs w:val="21"/>
        </w:rPr>
        <w:t>If any of these are "yes", SG is very likely payable to that individual, regardless of ABN or contractor status — unless the payment is genuinely made to a company or trust that is the real contracting party (see the exclusion below), not simply to that individual's sole trader ABN. Note that SG is calculated only on the labour/performance component of the fee — if the payment bundles in equipment hire, travel, or materials, those components are excluded from the SG calculation.</w:t>
      </w:r>
    </w:p>
    <w:p w14:paraId="43E0EDE9" w14:textId="77777777" w:rsidR="00E966FC" w:rsidRDefault="00000000">
      <w:pPr>
        <w:spacing w:before="200" w:after="100"/>
      </w:pPr>
      <w:r>
        <w:rPr>
          <w:rFonts w:ascii="Arial" w:eastAsia="Arial" w:hAnsi="Arial" w:cs="Arial"/>
          <w:b/>
          <w:bCs/>
          <w:sz w:val="22"/>
          <w:szCs w:val="22"/>
        </w:rPr>
        <w:t>3.3 — Company office-holders (s12(2))</w:t>
      </w:r>
    </w:p>
    <w:p w14:paraId="2713D6AB" w14:textId="77777777" w:rsidR="00E966FC" w:rsidRDefault="00000000">
      <w:pPr>
        <w:spacing w:after="100"/>
        <w:ind w:left="200"/>
      </w:pPr>
      <w:r>
        <w:rPr>
          <w:rFonts w:ascii="Arial" w:eastAsia="Arial" w:hAnsi="Arial" w:cs="Arial"/>
          <w:sz w:val="21"/>
          <w:szCs w:val="21"/>
        </w:rPr>
        <w:t>☐ Yes    ☐ No    — Is this person a director or executive office-holder being paid for those duties?</w:t>
      </w:r>
    </w:p>
    <w:p w14:paraId="3F1F1B7D" w14:textId="77777777" w:rsidR="00E966FC" w:rsidRDefault="00000000">
      <w:pPr>
        <w:spacing w:after="200" w:line="276" w:lineRule="auto"/>
      </w:pPr>
      <w:r>
        <w:rPr>
          <w:rFonts w:ascii="Arial" w:eastAsia="Arial" w:hAnsi="Arial" w:cs="Arial"/>
          <w:sz w:val="21"/>
          <w:szCs w:val="21"/>
        </w:rPr>
        <w:t>If yes, they are an employee of the company for SG purposes in relation to those duties.</w:t>
      </w:r>
    </w:p>
    <w:p w14:paraId="276E5B2F" w14:textId="77777777" w:rsidR="00E966FC" w:rsidRDefault="00000000">
      <w:pPr>
        <w:spacing w:before="320" w:after="140"/>
      </w:pPr>
      <w:r>
        <w:rPr>
          <w:rFonts w:ascii="Arial" w:eastAsia="Arial" w:hAnsi="Arial" w:cs="Arial"/>
          <w:b/>
          <w:bCs/>
          <w:color w:val="1A1A1A"/>
          <w:sz w:val="27"/>
          <w:szCs w:val="27"/>
        </w:rPr>
        <w:t>Section 4 — When SG is genuinely not payable</w:t>
      </w:r>
    </w:p>
    <w:p w14:paraId="4FACEC92" w14:textId="77777777" w:rsidR="00E966FC" w:rsidRDefault="00000000">
      <w:pPr>
        <w:spacing w:after="140" w:line="276" w:lineRule="auto"/>
      </w:pPr>
      <w:r>
        <w:rPr>
          <w:rFonts w:ascii="Arial" w:eastAsia="Arial" w:hAnsi="Arial" w:cs="Arial"/>
          <w:sz w:val="21"/>
          <w:szCs w:val="21"/>
        </w:rPr>
        <w:t>Check whether any of the following apply — these can take an engagement outside SG even where the checks above raised a concern:</w:t>
      </w:r>
    </w:p>
    <w:p w14:paraId="37FC765B" w14:textId="77777777" w:rsidR="00E966FC" w:rsidRDefault="00000000">
      <w:pPr>
        <w:pStyle w:val="ListParagraph"/>
        <w:numPr>
          <w:ilvl w:val="0"/>
          <w:numId w:val="1"/>
        </w:numPr>
        <w:spacing w:after="100" w:line="276" w:lineRule="auto"/>
      </w:pPr>
      <w:r>
        <w:rPr>
          <w:rFonts w:ascii="Arial" w:eastAsia="Arial" w:hAnsi="Arial" w:cs="Arial"/>
          <w:sz w:val="21"/>
          <w:szCs w:val="21"/>
        </w:rPr>
        <w:t>Genuine independent contractor: the worker can delegate the work, supplies their own significant equipment, bears commercial risk, works for multiple clients, and none of the extended definitions in Section 3 apply.</w:t>
      </w:r>
    </w:p>
    <w:p w14:paraId="6B554850" w14:textId="77777777" w:rsidR="00E966FC" w:rsidRDefault="00000000">
      <w:pPr>
        <w:pStyle w:val="ListParagraph"/>
        <w:numPr>
          <w:ilvl w:val="0"/>
          <w:numId w:val="1"/>
        </w:numPr>
        <w:spacing w:after="100" w:line="276" w:lineRule="auto"/>
      </w:pPr>
      <w:r>
        <w:rPr>
          <w:rFonts w:ascii="Arial" w:eastAsia="Arial" w:hAnsi="Arial" w:cs="Arial"/>
          <w:sz w:val="21"/>
          <w:szCs w:val="21"/>
        </w:rPr>
        <w:lastRenderedPageBreak/>
        <w:t>Genuine company, trust or partnership as the contracting party: the organisation is contracting with — and paying — a real, separately operating entity, not just an individual's personal ABN. A sole trader ABN is not a separate legal entity and does not achieve this.</w:t>
      </w:r>
    </w:p>
    <w:p w14:paraId="41C41B4D" w14:textId="77777777" w:rsidR="00E966FC" w:rsidRDefault="00000000">
      <w:pPr>
        <w:pStyle w:val="ListParagraph"/>
        <w:numPr>
          <w:ilvl w:val="0"/>
          <w:numId w:val="1"/>
        </w:numPr>
        <w:spacing w:after="100" w:line="276" w:lineRule="auto"/>
      </w:pPr>
      <w:r>
        <w:rPr>
          <w:rFonts w:ascii="Arial" w:eastAsia="Arial" w:hAnsi="Arial" w:cs="Arial"/>
          <w:sz w:val="21"/>
          <w:szCs w:val="21"/>
        </w:rPr>
        <w:t>Worker is under 18 and works 30 hours or less in the week (assessed on actual weekly hours, not averaged over a longer period).</w:t>
      </w:r>
    </w:p>
    <w:p w14:paraId="1B5824BA" w14:textId="77777777" w:rsidR="00E966FC" w:rsidRDefault="00000000">
      <w:pPr>
        <w:pStyle w:val="ListParagraph"/>
        <w:numPr>
          <w:ilvl w:val="0"/>
          <w:numId w:val="1"/>
        </w:numPr>
        <w:spacing w:after="100" w:line="276" w:lineRule="auto"/>
      </w:pPr>
      <w:r>
        <w:rPr>
          <w:rFonts w:ascii="Arial" w:eastAsia="Arial" w:hAnsi="Arial" w:cs="Arial"/>
          <w:sz w:val="21"/>
          <w:szCs w:val="21"/>
        </w:rPr>
        <w:t>Genuinely domestic or private work (e.g. a private nanny or carer) for 30 hours or less per week.</w:t>
      </w:r>
    </w:p>
    <w:p w14:paraId="1F85BF8D" w14:textId="77777777" w:rsidR="00E966FC" w:rsidRDefault="00000000">
      <w:pPr>
        <w:pStyle w:val="ListParagraph"/>
        <w:numPr>
          <w:ilvl w:val="0"/>
          <w:numId w:val="1"/>
        </w:numPr>
        <w:spacing w:after="100" w:line="276" w:lineRule="auto"/>
      </w:pPr>
      <w:r>
        <w:rPr>
          <w:rFonts w:ascii="Arial" w:eastAsia="Arial" w:hAnsi="Arial" w:cs="Arial"/>
          <w:sz w:val="21"/>
          <w:szCs w:val="21"/>
        </w:rPr>
        <w:t>Narrower carve-outs: non-resident workers performing entirely outside Australia, armed forces reservists, foreign executives on certain visa classes, workers covered by a bilateral super agreement who hold a certificate of coverage, and high-income earners with multiple employers who hold a super guarantee employer shortfall exemption certificate for this employer.</w:t>
      </w:r>
    </w:p>
    <w:p w14:paraId="69123EBD" w14:textId="77777777" w:rsidR="00E966FC" w:rsidRDefault="00000000">
      <w:pPr>
        <w:spacing w:after="220" w:line="276" w:lineRule="auto"/>
      </w:pPr>
      <w:r>
        <w:rPr>
          <w:rFonts w:ascii="Arial" w:eastAsia="Arial" w:hAnsi="Arial" w:cs="Arial"/>
          <w:b/>
          <w:bCs/>
          <w:sz w:val="21"/>
          <w:szCs w:val="21"/>
        </w:rPr>
        <w:t>Note: there is no minimum-fee exemption. The old $450-per-month threshold was abolished from 1 July 2022 — a one-off, low-value engagement still attracts SG if any of the tests above are met.</w:t>
      </w:r>
    </w:p>
    <w:p w14:paraId="7BFDD38A" w14:textId="77777777" w:rsidR="00E966FC" w:rsidRDefault="00000000">
      <w:pPr>
        <w:spacing w:before="320" w:after="140"/>
      </w:pPr>
      <w:r>
        <w:rPr>
          <w:rFonts w:ascii="Arial" w:eastAsia="Arial" w:hAnsi="Arial" w:cs="Arial"/>
          <w:b/>
          <w:bCs/>
          <w:color w:val="1A1A1A"/>
          <w:sz w:val="27"/>
          <w:szCs w:val="27"/>
        </w:rPr>
        <w:t>Section 5 — Outcome</w:t>
      </w:r>
    </w:p>
    <w:p w14:paraId="53A95123" w14:textId="77777777" w:rsidR="00E966FC" w:rsidRDefault="00000000">
      <w:pPr>
        <w:spacing w:after="120"/>
      </w:pPr>
      <w:r>
        <w:rPr>
          <w:rFonts w:ascii="Arial" w:eastAsia="Arial" w:hAnsi="Arial" w:cs="Arial"/>
          <w:sz w:val="22"/>
          <w:szCs w:val="22"/>
        </w:rPr>
        <w:t>☐  SG is payable — proceed to Section 6</w:t>
      </w:r>
    </w:p>
    <w:p w14:paraId="219A9D3C" w14:textId="77777777" w:rsidR="00E966FC" w:rsidRDefault="00000000">
      <w:pPr>
        <w:spacing w:after="120"/>
      </w:pPr>
      <w:r>
        <w:rPr>
          <w:rFonts w:ascii="Arial" w:eastAsia="Arial" w:hAnsi="Arial" w:cs="Arial"/>
          <w:sz w:val="22"/>
          <w:szCs w:val="22"/>
        </w:rPr>
        <w:t>☐  SG is not payable — record the specific exclusion relied on below</w:t>
      </w:r>
    </w:p>
    <w:p w14:paraId="438EC164" w14:textId="77777777" w:rsidR="00E966FC" w:rsidRDefault="00000000">
      <w:pPr>
        <w:spacing w:after="120"/>
      </w:pPr>
      <w:r>
        <w:rPr>
          <w:rFonts w:ascii="Arial" w:eastAsia="Arial" w:hAnsi="Arial" w:cs="Arial"/>
          <w:sz w:val="22"/>
          <w:szCs w:val="22"/>
        </w:rPr>
        <w:t>☐  Uncertain — seek specific advice before proceeding</w:t>
      </w:r>
    </w:p>
    <w:p w14:paraId="569DF4D1" w14:textId="77777777" w:rsidR="00E966FC" w:rsidRDefault="00000000">
      <w:pPr>
        <w:spacing w:after="160"/>
      </w:pPr>
      <w:r>
        <w:rPr>
          <w:rFonts w:ascii="Arial" w:eastAsia="Arial" w:hAnsi="Arial" w:cs="Arial"/>
          <w:b/>
          <w:bCs/>
          <w:sz w:val="21"/>
          <w:szCs w:val="21"/>
        </w:rPr>
        <w:t xml:space="preserve">Reasoning / exclusion relied on: </w:t>
      </w:r>
      <w:r>
        <w:rPr>
          <w:rFonts w:ascii="Arial" w:eastAsia="Arial" w:hAnsi="Arial" w:cs="Arial"/>
          <w:sz w:val="21"/>
          <w:szCs w:val="21"/>
        </w:rPr>
        <w:t>_______________________________________________</w:t>
      </w:r>
    </w:p>
    <w:p w14:paraId="04C5C774" w14:textId="77777777" w:rsidR="00E966FC" w:rsidRDefault="00000000">
      <w:pPr>
        <w:spacing w:after="160"/>
      </w:pPr>
      <w:r>
        <w:rPr>
          <w:rFonts w:ascii="Arial" w:eastAsia="Arial" w:hAnsi="Arial" w:cs="Arial"/>
          <w:b/>
          <w:bCs/>
          <w:sz w:val="21"/>
          <w:szCs w:val="21"/>
        </w:rPr>
        <w:t xml:space="preserve"> </w:t>
      </w:r>
      <w:r>
        <w:rPr>
          <w:rFonts w:ascii="Arial" w:eastAsia="Arial" w:hAnsi="Arial" w:cs="Arial"/>
          <w:sz w:val="21"/>
          <w:szCs w:val="21"/>
        </w:rPr>
        <w:t>_______________________________________________</w:t>
      </w:r>
    </w:p>
    <w:p w14:paraId="3281523B" w14:textId="77777777" w:rsidR="00E966FC" w:rsidRDefault="00000000">
      <w:pPr>
        <w:spacing w:after="160"/>
      </w:pPr>
      <w:r>
        <w:rPr>
          <w:rFonts w:ascii="Arial" w:eastAsia="Arial" w:hAnsi="Arial" w:cs="Arial"/>
          <w:b/>
          <w:bCs/>
          <w:sz w:val="21"/>
          <w:szCs w:val="21"/>
        </w:rPr>
        <w:t xml:space="preserve">Assessed by: </w:t>
      </w:r>
      <w:r>
        <w:rPr>
          <w:rFonts w:ascii="Arial" w:eastAsia="Arial" w:hAnsi="Arial" w:cs="Arial"/>
          <w:sz w:val="21"/>
          <w:szCs w:val="21"/>
        </w:rPr>
        <w:t>_______________________________________________</w:t>
      </w:r>
    </w:p>
    <w:p w14:paraId="263C77E7" w14:textId="77777777" w:rsidR="00E966FC" w:rsidRDefault="00000000">
      <w:pPr>
        <w:spacing w:after="160"/>
      </w:pPr>
      <w:r>
        <w:rPr>
          <w:rFonts w:ascii="Arial" w:eastAsia="Arial" w:hAnsi="Arial" w:cs="Arial"/>
          <w:b/>
          <w:bCs/>
          <w:sz w:val="21"/>
          <w:szCs w:val="21"/>
        </w:rPr>
        <w:t xml:space="preserve">Date: </w:t>
      </w:r>
      <w:r>
        <w:rPr>
          <w:rFonts w:ascii="Arial" w:eastAsia="Arial" w:hAnsi="Arial" w:cs="Arial"/>
          <w:sz w:val="21"/>
          <w:szCs w:val="21"/>
        </w:rPr>
        <w:t>_______________________________________________</w:t>
      </w:r>
    </w:p>
    <w:p w14:paraId="78D0A3EB" w14:textId="77777777" w:rsidR="00E966FC" w:rsidRDefault="00000000">
      <w:pPr>
        <w:spacing w:before="320" w:after="140"/>
      </w:pPr>
      <w:r>
        <w:rPr>
          <w:rFonts w:ascii="Arial" w:eastAsia="Arial" w:hAnsi="Arial" w:cs="Arial"/>
          <w:b/>
          <w:bCs/>
          <w:color w:val="1A1A1A"/>
          <w:sz w:val="27"/>
          <w:szCs w:val="27"/>
        </w:rPr>
        <w:t>Section 6 — If SG is payable: next steps</w:t>
      </w:r>
    </w:p>
    <w:p w14:paraId="772D67C0" w14:textId="77777777" w:rsidR="00E966FC" w:rsidRDefault="00000000">
      <w:pPr>
        <w:pStyle w:val="ListParagraph"/>
        <w:numPr>
          <w:ilvl w:val="0"/>
          <w:numId w:val="1"/>
        </w:numPr>
        <w:spacing w:after="100" w:line="276" w:lineRule="auto"/>
      </w:pPr>
      <w:r>
        <w:rPr>
          <w:rFonts w:ascii="Arial" w:eastAsia="Arial" w:hAnsi="Arial" w:cs="Arial"/>
          <w:sz w:val="21"/>
          <w:szCs w:val="21"/>
        </w:rPr>
        <w:t>Pay SG at the current rate (12% of qualifying earnings (QE) — the Payday Super earnings base, broader than the old ordinary time earnings (OTE) measure it replaced) into the worker's nominated complying superannuation fund — not as cash.</w:t>
      </w:r>
    </w:p>
    <w:p w14:paraId="23F23AD8" w14:textId="77777777" w:rsidR="00E966FC" w:rsidRDefault="00000000">
      <w:pPr>
        <w:pStyle w:val="ListParagraph"/>
        <w:numPr>
          <w:ilvl w:val="0"/>
          <w:numId w:val="1"/>
        </w:numPr>
        <w:spacing w:after="100" w:line="276" w:lineRule="auto"/>
      </w:pPr>
      <w:r>
        <w:rPr>
          <w:rFonts w:ascii="Arial" w:eastAsia="Arial" w:hAnsi="Arial" w:cs="Arial"/>
          <w:sz w:val="21"/>
          <w:szCs w:val="21"/>
        </w:rPr>
        <w:t>Calculate SG on the labour/performance component of the fee only — amounts that genuinely reimburse equipment, travel or materials are excluded.</w:t>
      </w:r>
    </w:p>
    <w:p w14:paraId="1EC84152" w14:textId="77777777" w:rsidR="00E966FC" w:rsidRDefault="00000000">
      <w:pPr>
        <w:pStyle w:val="ListParagraph"/>
        <w:numPr>
          <w:ilvl w:val="0"/>
          <w:numId w:val="1"/>
        </w:numPr>
        <w:spacing w:after="100" w:line="276" w:lineRule="auto"/>
      </w:pPr>
      <w:r>
        <w:rPr>
          <w:rFonts w:ascii="Arial" w:eastAsia="Arial" w:hAnsi="Arial" w:cs="Arial"/>
          <w:sz w:val="21"/>
          <w:szCs w:val="21"/>
        </w:rPr>
        <w:t>Confirm whether the agreed fee is inclusive or exclusive of SG before the engagement, not after.</w:t>
      </w:r>
    </w:p>
    <w:p w14:paraId="037E99E5" w14:textId="77777777" w:rsidR="00E966FC" w:rsidRDefault="00000000">
      <w:pPr>
        <w:pStyle w:val="ListParagraph"/>
        <w:numPr>
          <w:ilvl w:val="0"/>
          <w:numId w:val="1"/>
        </w:numPr>
        <w:spacing w:after="100" w:line="276" w:lineRule="auto"/>
      </w:pPr>
      <w:r>
        <w:rPr>
          <w:rFonts w:ascii="Arial" w:eastAsia="Arial" w:hAnsi="Arial" w:cs="Arial"/>
          <w:sz w:val="21"/>
          <w:szCs w:val="21"/>
        </w:rPr>
        <w:t>Pay on payday: under Payday Super (in effect since 1 July 2026), SG must reach the fund — with enough information to allocate it — within 7 business days of pay. There is no quarterly buffer left to fix a missed assessment.</w:t>
      </w:r>
    </w:p>
    <w:p w14:paraId="2AE29506" w14:textId="77777777" w:rsidR="00E966FC" w:rsidRDefault="00000000">
      <w:pPr>
        <w:pStyle w:val="ListParagraph"/>
        <w:numPr>
          <w:ilvl w:val="0"/>
          <w:numId w:val="1"/>
        </w:numPr>
        <w:spacing w:after="100" w:line="276" w:lineRule="auto"/>
      </w:pPr>
      <w:r>
        <w:rPr>
          <w:rFonts w:ascii="Arial" w:eastAsia="Arial" w:hAnsi="Arial" w:cs="Arial"/>
          <w:sz w:val="21"/>
          <w:szCs w:val="21"/>
        </w:rPr>
        <w:t>Keep records of this assessment, the fee breakdown, and the SG paid, for at least 5 years.</w:t>
      </w:r>
    </w:p>
    <w:p w14:paraId="517BCECF" w14:textId="77777777" w:rsidR="00E966FC" w:rsidRDefault="00E966FC">
      <w:pPr>
        <w:pBdr>
          <w:bottom w:val="single" w:sz="6" w:space="4" w:color="CCCCCC"/>
        </w:pBdr>
        <w:spacing w:after="200"/>
      </w:pPr>
    </w:p>
    <w:p w14:paraId="15B9CDEB" w14:textId="77777777" w:rsidR="00E966FC" w:rsidRDefault="00000000">
      <w:pPr>
        <w:spacing w:before="200" w:after="100"/>
      </w:pPr>
      <w:r>
        <w:rPr>
          <w:rFonts w:ascii="Arial" w:eastAsia="Arial" w:hAnsi="Arial" w:cs="Arial"/>
          <w:b/>
          <w:bCs/>
          <w:sz w:val="22"/>
          <w:szCs w:val="22"/>
        </w:rPr>
        <w:t>Legislative basis</w:t>
      </w:r>
    </w:p>
    <w:p w14:paraId="141D675F" w14:textId="77777777" w:rsidR="00E966FC" w:rsidRDefault="00000000">
      <w:pPr>
        <w:spacing w:after="200" w:line="276" w:lineRule="auto"/>
      </w:pPr>
      <w:r>
        <w:rPr>
          <w:rFonts w:ascii="Arial" w:eastAsia="Arial" w:hAnsi="Arial" w:cs="Arial"/>
          <w:i/>
          <w:iCs/>
          <w:sz w:val="21"/>
          <w:szCs w:val="21"/>
        </w:rPr>
        <w:lastRenderedPageBreak/>
        <w:t>Superannuation Guarantee (Administration) Act 1992 (Cth), s12 (definitions of employer/employee); Taxation Ruling TR 2023/4 (ordinary and extended meaning of employee); draft Superannuation Guarantee Ruling SGR 2026/D1 (work performed through intermediaries — in draft, not yet finalised); the Payday Super reforms (payment timing, in effect from 1 July 2026); Construction, Forestry, Maritime, Mining and Energy Union v Personnel Contracting Pty Ltd [2022] HCA 1.</w:t>
      </w:r>
    </w:p>
    <w:p w14:paraId="4713676D" w14:textId="77777777" w:rsidR="00E966FC" w:rsidRDefault="00000000">
      <w:pPr>
        <w:spacing w:after="140" w:line="276" w:lineRule="auto"/>
      </w:pPr>
      <w:r>
        <w:rPr>
          <w:rFonts w:ascii="Arial" w:eastAsia="Arial" w:hAnsi="Arial" w:cs="Arial"/>
          <w:i/>
          <w:iCs/>
          <w:sz w:val="21"/>
          <w:szCs w:val="21"/>
        </w:rPr>
        <w:t>This worksheet is general information current as at August 2026 to help structure your own assessment. It is not legal or tax advice, is not tailored to any particular organisation, and does not replace a proper review of your organisation's specific arrangements before use.</w:t>
      </w:r>
    </w:p>
    <w:sectPr w:rsidR="00E966F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A3719"/>
    <w:multiLevelType w:val="hybridMultilevel"/>
    <w:tmpl w:val="4596D7DE"/>
    <w:lvl w:ilvl="0" w:tplc="EDDCC8E8">
      <w:start w:val="1"/>
      <w:numFmt w:val="bullet"/>
      <w:lvlText w:val="●"/>
      <w:lvlJc w:val="left"/>
      <w:pPr>
        <w:ind w:left="720" w:hanging="360"/>
      </w:pPr>
    </w:lvl>
    <w:lvl w:ilvl="1" w:tplc="E8A839D4">
      <w:start w:val="1"/>
      <w:numFmt w:val="bullet"/>
      <w:lvlText w:val="○"/>
      <w:lvlJc w:val="left"/>
      <w:pPr>
        <w:ind w:left="1440" w:hanging="360"/>
      </w:pPr>
    </w:lvl>
    <w:lvl w:ilvl="2" w:tplc="029670A2">
      <w:start w:val="1"/>
      <w:numFmt w:val="bullet"/>
      <w:lvlText w:val="■"/>
      <w:lvlJc w:val="left"/>
      <w:pPr>
        <w:ind w:left="2160" w:hanging="360"/>
      </w:pPr>
    </w:lvl>
    <w:lvl w:ilvl="3" w:tplc="96140DC8">
      <w:start w:val="1"/>
      <w:numFmt w:val="bullet"/>
      <w:lvlText w:val="●"/>
      <w:lvlJc w:val="left"/>
      <w:pPr>
        <w:ind w:left="2880" w:hanging="360"/>
      </w:pPr>
    </w:lvl>
    <w:lvl w:ilvl="4" w:tplc="2B5263DE">
      <w:start w:val="1"/>
      <w:numFmt w:val="bullet"/>
      <w:lvlText w:val="○"/>
      <w:lvlJc w:val="left"/>
      <w:pPr>
        <w:ind w:left="3600" w:hanging="360"/>
      </w:pPr>
    </w:lvl>
    <w:lvl w:ilvl="5" w:tplc="C0A89820">
      <w:start w:val="1"/>
      <w:numFmt w:val="bullet"/>
      <w:lvlText w:val="■"/>
      <w:lvlJc w:val="left"/>
      <w:pPr>
        <w:ind w:left="4320" w:hanging="360"/>
      </w:pPr>
    </w:lvl>
    <w:lvl w:ilvl="6" w:tplc="B0E26FCA">
      <w:start w:val="1"/>
      <w:numFmt w:val="bullet"/>
      <w:lvlText w:val="●"/>
      <w:lvlJc w:val="left"/>
      <w:pPr>
        <w:ind w:left="5040" w:hanging="360"/>
      </w:pPr>
    </w:lvl>
    <w:lvl w:ilvl="7" w:tplc="298C59B0">
      <w:start w:val="1"/>
      <w:numFmt w:val="bullet"/>
      <w:lvlText w:val="●"/>
      <w:lvlJc w:val="left"/>
      <w:pPr>
        <w:ind w:left="5760" w:hanging="360"/>
      </w:pPr>
    </w:lvl>
    <w:lvl w:ilvl="8" w:tplc="1262AEF0">
      <w:start w:val="1"/>
      <w:numFmt w:val="bullet"/>
      <w:lvlText w:val="●"/>
      <w:lvlJc w:val="left"/>
      <w:pPr>
        <w:ind w:left="6480" w:hanging="360"/>
      </w:pPr>
    </w:lvl>
  </w:abstractNum>
  <w:num w:numId="1" w16cid:durableId="10808325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6FC"/>
    <w:rsid w:val="000568AD"/>
    <w:rsid w:val="00C4615B"/>
    <w:rsid w:val="00E966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90980"/>
  <w15:docId w15:val="{DBA0DC45-DE11-4A81-9B03-44096B623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1315</Words>
  <Characters>7501</Characters>
  <Application>Microsoft Office Word</Application>
  <DocSecurity>0</DocSecurity>
  <Lines>62</Lines>
  <Paragraphs>17</Paragraphs>
  <ScaleCrop>false</ScaleCrop>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Laura Robertson</cp:lastModifiedBy>
  <cp:revision>2</cp:revision>
  <dcterms:created xsi:type="dcterms:W3CDTF">2026-08-05T00:23:00Z</dcterms:created>
  <dcterms:modified xsi:type="dcterms:W3CDTF">2026-08-05T00:39:00Z</dcterms:modified>
</cp:coreProperties>
</file>